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3C37B" w14:textId="77777777" w:rsidR="00E85433" w:rsidRPr="00E85433" w:rsidRDefault="00E85433" w:rsidP="00E85433">
      <w:pPr>
        <w:tabs>
          <w:tab w:val="left" w:pos="993"/>
        </w:tabs>
        <w:ind w:firstLine="709"/>
        <w:jc w:val="right"/>
        <w:rPr>
          <w:bCs/>
          <w:kern w:val="3"/>
          <w:sz w:val="24"/>
          <w:szCs w:val="24"/>
        </w:rPr>
      </w:pPr>
      <w:r w:rsidRPr="00E85433">
        <w:rPr>
          <w:bCs/>
          <w:sz w:val="24"/>
          <w:szCs w:val="24"/>
        </w:rPr>
        <w:t>Приложение 7</w:t>
      </w:r>
    </w:p>
    <w:p w14:paraId="4B7F5159" w14:textId="77777777" w:rsidR="00E85433" w:rsidRPr="00E85433" w:rsidRDefault="00E85433" w:rsidP="00E85433">
      <w:pPr>
        <w:tabs>
          <w:tab w:val="left" w:pos="993"/>
        </w:tabs>
        <w:ind w:firstLine="0"/>
        <w:jc w:val="right"/>
        <w:rPr>
          <w:b/>
          <w:kern w:val="3"/>
          <w:sz w:val="24"/>
          <w:szCs w:val="24"/>
        </w:rPr>
      </w:pPr>
    </w:p>
    <w:p w14:paraId="6E60B359" w14:textId="77777777" w:rsidR="00E85433" w:rsidRPr="00E85433" w:rsidRDefault="00E85433" w:rsidP="00E85433">
      <w:pPr>
        <w:tabs>
          <w:tab w:val="left" w:pos="317"/>
          <w:tab w:val="left" w:pos="993"/>
        </w:tabs>
        <w:ind w:right="4" w:firstLine="0"/>
        <w:jc w:val="center"/>
        <w:rPr>
          <w:b/>
          <w:bCs/>
          <w:sz w:val="24"/>
          <w:szCs w:val="24"/>
        </w:rPr>
      </w:pPr>
      <w:r w:rsidRPr="00E85433">
        <w:rPr>
          <w:b/>
          <w:bCs/>
          <w:sz w:val="24"/>
          <w:szCs w:val="24"/>
        </w:rPr>
        <w:t>Информация, подлежащая включению в объявление о присуждении</w:t>
      </w:r>
    </w:p>
    <w:p w14:paraId="0ECD4C61" w14:textId="77777777" w:rsidR="00E85433" w:rsidRPr="00E85433" w:rsidRDefault="00E85433" w:rsidP="00E85433">
      <w:pPr>
        <w:tabs>
          <w:tab w:val="left" w:pos="317"/>
          <w:tab w:val="left" w:pos="993"/>
        </w:tabs>
        <w:ind w:right="4" w:firstLine="0"/>
        <w:jc w:val="center"/>
        <w:rPr>
          <w:rFonts w:eastAsia="Arial"/>
          <w:b/>
          <w:bCs/>
          <w:sz w:val="24"/>
          <w:szCs w:val="24"/>
        </w:rPr>
      </w:pPr>
      <w:r w:rsidRPr="00E85433">
        <w:rPr>
          <w:b/>
          <w:bCs/>
          <w:sz w:val="24"/>
          <w:szCs w:val="24"/>
        </w:rPr>
        <w:t>договора о государственной закупке</w:t>
      </w:r>
    </w:p>
    <w:p w14:paraId="74F7E034" w14:textId="77777777" w:rsidR="00E85433" w:rsidRPr="00E85433" w:rsidRDefault="00E85433" w:rsidP="00E85433">
      <w:pPr>
        <w:tabs>
          <w:tab w:val="left" w:pos="317"/>
          <w:tab w:val="left" w:pos="993"/>
        </w:tabs>
        <w:ind w:firstLine="709"/>
        <w:jc w:val="center"/>
        <w:rPr>
          <w:rFonts w:eastAsia="Arial"/>
          <w:b/>
          <w:bCs/>
          <w:sz w:val="24"/>
          <w:szCs w:val="24"/>
          <w:lang w:eastAsia="ro-RO"/>
        </w:rPr>
      </w:pPr>
    </w:p>
    <w:p w14:paraId="64612938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1. Наименование, государственный идентификационный номер (IDNO), физический адрес, код NUTS, номер телефона, номер факса, адрес электронной почты и интернет-адрес закупающего органа и, если они отличаются, – сведения о подразделении, в котором может быть получена дополнительная информация. </w:t>
      </w:r>
    </w:p>
    <w:p w14:paraId="7E772CC5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2. Вид закупающего органа и основной предмет его деятельности. </w:t>
      </w:r>
    </w:p>
    <w:p w14:paraId="3CFD8331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3. При необходимости указание, что закупающий орган является центральным органом по закупкам или что государственная закупка влечет другую форму совместной закупки. </w:t>
      </w:r>
    </w:p>
    <w:p w14:paraId="649ED1EE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4. Коды CPV. </w:t>
      </w:r>
    </w:p>
    <w:p w14:paraId="3BE87D37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bCs/>
          <w:sz w:val="24"/>
          <w:szCs w:val="24"/>
        </w:rPr>
      </w:pPr>
      <w:r w:rsidRPr="00E85433">
        <w:rPr>
          <w:sz w:val="24"/>
          <w:szCs w:val="24"/>
        </w:rPr>
        <w:t xml:space="preserve">5. </w:t>
      </w:r>
      <w:r w:rsidRPr="00E85433">
        <w:rPr>
          <w:bCs/>
          <w:sz w:val="24"/>
          <w:szCs w:val="24"/>
        </w:rPr>
        <w:t xml:space="preserve">Код NUTS основного места выполнения работ в случае договоров о закупках работ или код NUTS основного места поставки товаров или оказания услуг в случае договоров о государственных закупках товаров или услуг. </w:t>
      </w:r>
    </w:p>
    <w:p w14:paraId="61187414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6. </w:t>
      </w:r>
      <w:r w:rsidRPr="00E85433">
        <w:rPr>
          <w:bCs/>
          <w:sz w:val="24"/>
          <w:szCs w:val="24"/>
        </w:rPr>
        <w:t xml:space="preserve">Описание государственной закупки: характер и количество или стоимость товаров, характер и масштаб услуг и работ. Если договор разделен на лоты, такая информация должна быть предоставлена по каждому лоту. </w:t>
      </w:r>
      <w:r w:rsidRPr="00E85433">
        <w:rPr>
          <w:sz w:val="24"/>
          <w:szCs w:val="24"/>
        </w:rPr>
        <w:t>При необходимости описание вариантов.</w:t>
      </w:r>
    </w:p>
    <w:p w14:paraId="022A1FF3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7. Вид процедуры присуждения, в случае процедуры переговоров без предварительного опубликования объявления об участии – обоснование ее выбора. </w:t>
      </w:r>
    </w:p>
    <w:p w14:paraId="25186A59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8. При необходимости указывается, что: </w:t>
      </w:r>
    </w:p>
    <w:p w14:paraId="34B48D3C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a) присуждение предполагало рамочное соглашение; </w:t>
      </w:r>
    </w:p>
    <w:p w14:paraId="0D9B0A6C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b) применялась динамическая система закупок. </w:t>
      </w:r>
    </w:p>
    <w:p w14:paraId="0FEB79A0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>9. Предусмотренные статьей 67 критерии, которые были использованы для присуждения договора о государственной закупке/договоров о государственных закупках. При необходимости уточняется, что были организованы электронные торги (в случае открытых или ограниченных торгов либо конкурентных переговоров).</w:t>
      </w:r>
    </w:p>
    <w:p w14:paraId="57A59EEE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10. Дата заключения договора о государственной закупке/договоров о государственных закупках или рамочного соглашения/рамочных соглашений в результате решения об их присуждении или заключении. </w:t>
      </w:r>
    </w:p>
    <w:p w14:paraId="07CEE5F5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11. Количество полученных оферт для каждого присуждения, включая: </w:t>
      </w:r>
    </w:p>
    <w:p w14:paraId="2758A526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a) количество оферт, полученных от экономических операторов, являющихся малыми или средними предприятиями; </w:t>
      </w:r>
    </w:p>
    <w:p w14:paraId="0EC45EAD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b) количество оферт, полученных из государства – члена ЕС, государства – члена Соглашения о государственных закупках ВТО, за исключением государств – членов ЕС, или из третьей страны;  </w:t>
      </w:r>
    </w:p>
    <w:p w14:paraId="1E70CB59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>c) количество оферт, полученных в электронной форме.</w:t>
      </w:r>
    </w:p>
    <w:p w14:paraId="6835C728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  <w:lang w:val="ro-MD"/>
        </w:rPr>
      </w:pPr>
      <w:r w:rsidRPr="00E85433">
        <w:rPr>
          <w:sz w:val="24"/>
          <w:szCs w:val="24"/>
        </w:rPr>
        <w:t>12. По каждому присуждению – наименование, физический адрес, код NUTS, номер телефона, номер факса, адрес электронной почты и интернет-адрес победившего оферента/победивших оферентов, а также указание о том, является ли оферент, признанный победителем, предприятием из категории малых и средних предприятий или был ли договор о государственной закупке присужден объединению экономических операторов (совместному обществу, консорциуму и др.).</w:t>
      </w:r>
    </w:p>
    <w:p w14:paraId="722641B7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  <w:lang w:val="ro-MD"/>
        </w:rPr>
      </w:pPr>
    </w:p>
    <w:p w14:paraId="40B3F0CF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  <w:lang w:val="ro-MD"/>
        </w:rPr>
      </w:pPr>
    </w:p>
    <w:p w14:paraId="5229FB42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13. Стоимость выигравшей оферты/выигравших оферт или значения стоимости наибольшей и наименьшей оферт, принятые во внимание при присуждении договора о государственной закупке/договоров о государственных закупках. </w:t>
      </w:r>
    </w:p>
    <w:p w14:paraId="2F98E673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14. При необходимости указание по каждому присуждению стоимости и процентной доли договора о государственной закупке, которая может быть передана на </w:t>
      </w:r>
      <w:r w:rsidRPr="00E85433">
        <w:rPr>
          <w:sz w:val="24"/>
          <w:szCs w:val="24"/>
        </w:rPr>
        <w:lastRenderedPageBreak/>
        <w:t xml:space="preserve">субподряд третьей стороне. </w:t>
      </w:r>
    </w:p>
    <w:p w14:paraId="17CD8A98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15. Указывается, относится ли соответствующий договор о государственной закупке к проекту и/или программе, финансируемым за счет средств Европейского Союза и/или одного из государств – членов ЕС. </w:t>
      </w:r>
    </w:p>
    <w:p w14:paraId="434AA144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16. Наименование и адрес органа по разрешению споров и при необходимости органа по медиации. Точная информация о сроках процедур оспаривания или при необходимости наименование, адрес, номер телефона, номер факса и адрес электронной почты подразделения, в котором может быть получена такая информация. </w:t>
      </w:r>
    </w:p>
    <w:p w14:paraId="21198273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 xml:space="preserve">17. Дата/даты и ссылка/ссылки на предыдущие публикации в Официальном журнале Европейского Союза, касающиеся договора о государственной закупке/договоров о государственных закупках, к которым относится соответствующее объявление.  </w:t>
      </w:r>
    </w:p>
    <w:p w14:paraId="6AAE39F6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>18. Дата опубликования объявления об участии.</w:t>
      </w:r>
    </w:p>
    <w:p w14:paraId="38F27772" w14:textId="77777777" w:rsidR="00E85433" w:rsidRPr="00E85433" w:rsidRDefault="00E85433" w:rsidP="00E85433">
      <w:pPr>
        <w:widowControl w:val="0"/>
        <w:tabs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>19. Дата передачи объявления о присуждении для опубликования.</w:t>
      </w:r>
    </w:p>
    <w:p w14:paraId="48DD2B87" w14:textId="77777777" w:rsidR="00E85433" w:rsidRPr="00E85433" w:rsidRDefault="00E85433" w:rsidP="00E85433">
      <w:pPr>
        <w:tabs>
          <w:tab w:val="left" w:pos="317"/>
          <w:tab w:val="left" w:pos="993"/>
        </w:tabs>
        <w:ind w:firstLine="709"/>
        <w:rPr>
          <w:sz w:val="24"/>
          <w:szCs w:val="24"/>
        </w:rPr>
      </w:pPr>
      <w:r w:rsidRPr="00E85433">
        <w:rPr>
          <w:sz w:val="24"/>
          <w:szCs w:val="24"/>
        </w:rPr>
        <w:t>20. Другая актуальная информация.</w:t>
      </w:r>
    </w:p>
    <w:sectPr w:rsidR="00E85433" w:rsidRPr="00E85433" w:rsidSect="00812258">
      <w:pgSz w:w="11907" w:h="16840" w:code="9"/>
      <w:pgMar w:top="851" w:right="964" w:bottom="1134" w:left="1814" w:header="278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33"/>
    <w:rsid w:val="0058181B"/>
    <w:rsid w:val="005C0197"/>
    <w:rsid w:val="006D1F82"/>
    <w:rsid w:val="00812258"/>
    <w:rsid w:val="00B32DE8"/>
    <w:rsid w:val="00CC2EF1"/>
    <w:rsid w:val="00D40252"/>
    <w:rsid w:val="00DC3938"/>
    <w:rsid w:val="00E85433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0B61"/>
  <w15:chartTrackingRefBased/>
  <w15:docId w15:val="{9BBDC4E9-F617-414F-B94C-9396576F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43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85433"/>
    <w:pPr>
      <w:keepNext/>
      <w:keepLines/>
      <w:spacing w:before="360" w:after="8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433"/>
    <w:pPr>
      <w:keepNext/>
      <w:keepLines/>
      <w:spacing w:before="160" w:after="80" w:line="276" w:lineRule="auto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433"/>
    <w:pPr>
      <w:keepNext/>
      <w:keepLines/>
      <w:spacing w:before="160" w:after="80" w:line="276" w:lineRule="auto"/>
      <w:ind w:firstLine="0"/>
      <w:outlineLvl w:val="2"/>
    </w:pPr>
    <w:rPr>
      <w:rFonts w:asciiTheme="minorHAnsi" w:eastAsiaTheme="majorEastAsia" w:hAnsiTheme="minorHAnsi" w:cstheme="majorBidi"/>
      <w:color w:val="365F9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5433"/>
    <w:pPr>
      <w:keepNext/>
      <w:keepLines/>
      <w:spacing w:before="80" w:after="40" w:line="276" w:lineRule="auto"/>
      <w:ind w:firstLine="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5433"/>
    <w:pPr>
      <w:keepNext/>
      <w:keepLines/>
      <w:spacing w:before="80" w:after="40" w:line="276" w:lineRule="auto"/>
      <w:ind w:firstLine="0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4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5433"/>
    <w:pPr>
      <w:keepNext/>
      <w:keepLines/>
      <w:spacing w:before="40" w:line="276" w:lineRule="auto"/>
      <w:ind w:firstLine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5433"/>
    <w:pPr>
      <w:keepNext/>
      <w:keepLines/>
      <w:spacing w:before="40" w:line="276" w:lineRule="auto"/>
      <w:ind w:firstLine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5433"/>
    <w:pPr>
      <w:keepNext/>
      <w:keepLines/>
      <w:spacing w:line="276" w:lineRule="auto"/>
      <w:ind w:firstLine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5433"/>
    <w:pPr>
      <w:keepNext/>
      <w:keepLines/>
      <w:spacing w:line="276" w:lineRule="auto"/>
      <w:ind w:firstLine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43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54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543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5433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85433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543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E85433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854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85433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E85433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85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5433"/>
    <w:pPr>
      <w:numPr>
        <w:ilvl w:val="1"/>
      </w:numPr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85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5433"/>
    <w:pPr>
      <w:spacing w:before="160" w:after="160" w:line="276" w:lineRule="auto"/>
      <w:ind w:firstLine="0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85433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E85433"/>
    <w:pPr>
      <w:spacing w:after="200" w:line="276" w:lineRule="auto"/>
      <w:ind w:left="720" w:firstLine="0"/>
      <w:contextualSpacing/>
    </w:pPr>
    <w:rPr>
      <w:rFonts w:eastAsiaTheme="minorHAnsi" w:cstheme="minorBidi"/>
      <w:kern w:val="2"/>
      <w:sz w:val="24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E85433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543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 w:firstLine="0"/>
      <w:jc w:val="center"/>
    </w:pPr>
    <w:rPr>
      <w:rFonts w:eastAsiaTheme="minorHAnsi" w:cstheme="minorBidi"/>
      <w:i/>
      <w:iCs/>
      <w:color w:val="365F91" w:themeColor="accent1" w:themeShade="BF"/>
      <w:kern w:val="2"/>
      <w:sz w:val="24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85433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E8543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3500</Characters>
  <Application>Microsoft Office Word</Application>
  <DocSecurity>0</DocSecurity>
  <Lines>291</Lines>
  <Paragraphs>117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2026-02-12T09:04:00Z</dcterms:created>
  <dcterms:modified xsi:type="dcterms:W3CDTF">2026-02-12T09:04:00Z</dcterms:modified>
</cp:coreProperties>
</file>